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D64" w:rsidRPr="00E3168C" w:rsidRDefault="00A22D64" w:rsidP="00A22D64">
      <w:pPr>
        <w:tabs>
          <w:tab w:val="left" w:pos="-1180"/>
          <w:tab w:val="left" w:pos="-720"/>
          <w:tab w:val="left" w:pos="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jc w:val="center"/>
        <w:rPr>
          <w:rFonts w:ascii="Book Antiqua" w:hAnsi="Book Antiqua"/>
          <w:b/>
          <w:bCs/>
          <w:sz w:val="24"/>
          <w:szCs w:val="24"/>
        </w:rPr>
      </w:pPr>
      <w:r w:rsidRPr="00E3168C">
        <w:rPr>
          <w:rFonts w:ascii="Book Antiqua" w:hAnsi="Book Antiqua"/>
          <w:b/>
          <w:bCs/>
          <w:sz w:val="24"/>
          <w:szCs w:val="24"/>
        </w:rPr>
        <w:t xml:space="preserve">LIVINGSTON PARISH </w:t>
      </w:r>
      <w:r>
        <w:rPr>
          <w:rFonts w:ascii="Book Antiqua" w:hAnsi="Book Antiqua"/>
          <w:b/>
          <w:bCs/>
          <w:sz w:val="24"/>
          <w:szCs w:val="24"/>
        </w:rPr>
        <w:t>ESSA</w:t>
      </w:r>
      <w:r w:rsidRPr="00E3168C">
        <w:rPr>
          <w:rFonts w:ascii="Book Antiqua" w:hAnsi="Book Antiqua"/>
          <w:b/>
          <w:bCs/>
          <w:sz w:val="24"/>
          <w:szCs w:val="24"/>
        </w:rPr>
        <w:t>, TITLE I</w:t>
      </w:r>
    </w:p>
    <w:p w:rsidR="00A22D64" w:rsidRPr="00E3168C" w:rsidRDefault="00A22D64" w:rsidP="00A22D64">
      <w:pPr>
        <w:tabs>
          <w:tab w:val="left" w:pos="-1180"/>
          <w:tab w:val="left" w:pos="-720"/>
          <w:tab w:val="left" w:pos="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jc w:val="center"/>
        <w:rPr>
          <w:rFonts w:ascii="Book Antiqua" w:hAnsi="Book Antiqua"/>
          <w:sz w:val="24"/>
          <w:szCs w:val="24"/>
        </w:rPr>
      </w:pPr>
      <w:r w:rsidRPr="00E3168C">
        <w:rPr>
          <w:rFonts w:ascii="Book Antiqua" w:hAnsi="Book Antiqua"/>
          <w:sz w:val="24"/>
          <w:szCs w:val="24"/>
        </w:rPr>
        <w:t>Complaint Resolution Procedure</w:t>
      </w:r>
    </w:p>
    <w:p w:rsidR="00A22D64" w:rsidRDefault="00A22D64" w:rsidP="00A22D64">
      <w:pPr>
        <w:pStyle w:val="NoSpacing"/>
      </w:pPr>
    </w:p>
    <w:p w:rsidR="00A22D64" w:rsidRPr="004765C0" w:rsidRDefault="00A22D64" w:rsidP="00A22D64">
      <w:pPr>
        <w:tabs>
          <w:tab w:val="left" w:pos="-1180"/>
          <w:tab w:val="left" w:pos="-720"/>
          <w:tab w:val="left" w:pos="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jc w:val="both"/>
        <w:rPr>
          <w:rFonts w:ascii="Book Antiqua" w:hAnsi="Book Antiqua"/>
          <w:b/>
          <w:sz w:val="22"/>
          <w:szCs w:val="22"/>
        </w:rPr>
      </w:pPr>
      <w:r w:rsidRPr="004765C0">
        <w:rPr>
          <w:rFonts w:ascii="Book Antiqua" w:hAnsi="Book Antiqua"/>
          <w:b/>
          <w:sz w:val="22"/>
          <w:szCs w:val="22"/>
        </w:rPr>
        <w:t>Any individual or organization may submit a complaint</w:t>
      </w:r>
      <w:r>
        <w:rPr>
          <w:rFonts w:ascii="Book Antiqua" w:hAnsi="Book Antiqua"/>
          <w:b/>
          <w:sz w:val="22"/>
          <w:szCs w:val="22"/>
        </w:rPr>
        <w:t xml:space="preserve">. A complaint </w:t>
      </w:r>
      <w:proofErr w:type="gramStart"/>
      <w:r w:rsidRPr="004765C0">
        <w:rPr>
          <w:rFonts w:ascii="Book Antiqua" w:hAnsi="Book Antiqua"/>
          <w:b/>
          <w:sz w:val="22"/>
          <w:szCs w:val="22"/>
        </w:rPr>
        <w:t>is defined</w:t>
      </w:r>
      <w:proofErr w:type="gramEnd"/>
      <w:r w:rsidRPr="004765C0">
        <w:rPr>
          <w:rFonts w:ascii="Book Antiqua" w:hAnsi="Book Antiqua"/>
          <w:b/>
          <w:sz w:val="22"/>
          <w:szCs w:val="22"/>
        </w:rPr>
        <w:t xml:space="preserve"> as a dated, written, signed allegation that the Local Educational Agency (LEA) or school has violated a federal or state law, rule or regulation.  A complaint must include a statement that the LEA or school has violated a statute, rule or regulation applicable to a covered program and the fact in which the statement </w:t>
      </w:r>
      <w:proofErr w:type="gramStart"/>
      <w:r w:rsidRPr="004765C0">
        <w:rPr>
          <w:rFonts w:ascii="Book Antiqua" w:hAnsi="Book Antiqua"/>
          <w:b/>
          <w:sz w:val="22"/>
          <w:szCs w:val="22"/>
        </w:rPr>
        <w:t>is based</w:t>
      </w:r>
      <w:proofErr w:type="gramEnd"/>
      <w:r w:rsidRPr="004765C0">
        <w:rPr>
          <w:rFonts w:ascii="Book Antiqua" w:hAnsi="Book Antiqua"/>
          <w:b/>
          <w:sz w:val="22"/>
          <w:szCs w:val="22"/>
        </w:rPr>
        <w:t xml:space="preserve">.  The complaint must allege that the violation occurred not more than one (1) year prior to the date that the complaint </w:t>
      </w:r>
      <w:proofErr w:type="gramStart"/>
      <w:r w:rsidRPr="004765C0">
        <w:rPr>
          <w:rFonts w:ascii="Book Antiqua" w:hAnsi="Book Antiqua"/>
          <w:b/>
          <w:sz w:val="22"/>
          <w:szCs w:val="22"/>
        </w:rPr>
        <w:t>is received</w:t>
      </w:r>
      <w:proofErr w:type="gramEnd"/>
      <w:r w:rsidRPr="004765C0">
        <w:rPr>
          <w:rFonts w:ascii="Book Antiqua" w:hAnsi="Book Antiqua"/>
          <w:b/>
          <w:sz w:val="22"/>
          <w:szCs w:val="22"/>
        </w:rPr>
        <w:t>, unless a longer period is reasonable because the violation is considered systemic or ongoing.</w:t>
      </w:r>
    </w:p>
    <w:p w:rsidR="00A22D64" w:rsidRDefault="00A22D64" w:rsidP="00A22D64">
      <w:pPr>
        <w:tabs>
          <w:tab w:val="left" w:pos="-1180"/>
          <w:tab w:val="left" w:pos="-720"/>
          <w:tab w:val="left" w:pos="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ind w:left="288" w:right="360"/>
        <w:jc w:val="both"/>
        <w:rPr>
          <w:rFonts w:ascii="Book Antiqua" w:hAnsi="Book Antiqua"/>
          <w:sz w:val="22"/>
          <w:szCs w:val="22"/>
        </w:rPr>
      </w:pPr>
    </w:p>
    <w:p w:rsidR="00A22D64" w:rsidRDefault="00A22D64" w:rsidP="00A22D64">
      <w:pPr>
        <w:tabs>
          <w:tab w:val="left" w:pos="-1180"/>
          <w:tab w:val="left" w:pos="-720"/>
          <w:tab w:val="left" w:pos="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ind w:left="288" w:right="360"/>
        <w:jc w:val="both"/>
        <w:rPr>
          <w:rFonts w:ascii="Book Antiqua" w:hAnsi="Book Antiqua"/>
          <w:sz w:val="22"/>
          <w:szCs w:val="22"/>
        </w:rPr>
      </w:pPr>
    </w:p>
    <w:p w:rsidR="00A22D64" w:rsidRPr="00E3168C" w:rsidRDefault="00A22D64" w:rsidP="00A22D64">
      <w:pPr>
        <w:numPr>
          <w:ilvl w:val="0"/>
          <w:numId w:val="1"/>
        </w:numPr>
        <w:tabs>
          <w:tab w:val="left" w:pos="-1180"/>
          <w:tab w:val="left" w:pos="-720"/>
          <w:tab w:val="left" w:pos="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ind w:right="360"/>
        <w:jc w:val="both"/>
        <w:rPr>
          <w:rFonts w:ascii="Book Antiqua" w:hAnsi="Book Antiqua"/>
          <w:sz w:val="22"/>
          <w:szCs w:val="22"/>
        </w:rPr>
      </w:pPr>
      <w:r w:rsidRPr="00E3168C">
        <w:rPr>
          <w:rFonts w:ascii="Book Antiqua" w:hAnsi="Book Antiqua"/>
          <w:sz w:val="22"/>
          <w:szCs w:val="22"/>
        </w:rPr>
        <w:t xml:space="preserve">Within seven days after receiving a written complaint concerning violations of Title I requirements, the principal will investigate and determine if a violation exists.  If a violation does exist, he has seven days to resolve the complaint.  A report of the investigation </w:t>
      </w:r>
      <w:proofErr w:type="gramStart"/>
      <w:r w:rsidRPr="00E3168C">
        <w:rPr>
          <w:rFonts w:ascii="Book Antiqua" w:hAnsi="Book Antiqua"/>
          <w:sz w:val="22"/>
          <w:szCs w:val="22"/>
        </w:rPr>
        <w:t>will be forwarded</w:t>
      </w:r>
      <w:proofErr w:type="gramEnd"/>
      <w:r w:rsidRPr="00E3168C">
        <w:rPr>
          <w:rFonts w:ascii="Book Antiqua" w:hAnsi="Book Antiqua"/>
          <w:sz w:val="22"/>
          <w:szCs w:val="22"/>
        </w:rPr>
        <w:t xml:space="preserve"> to the Title I Director and </w:t>
      </w:r>
      <w:r>
        <w:rPr>
          <w:rFonts w:ascii="Book Antiqua" w:hAnsi="Book Antiqua"/>
          <w:sz w:val="22"/>
          <w:szCs w:val="22"/>
        </w:rPr>
        <w:t xml:space="preserve">District </w:t>
      </w:r>
      <w:r w:rsidRPr="00E3168C">
        <w:rPr>
          <w:rFonts w:ascii="Book Antiqua" w:hAnsi="Book Antiqua"/>
          <w:sz w:val="22"/>
          <w:szCs w:val="22"/>
        </w:rPr>
        <w:t>Superintendent.</w:t>
      </w:r>
    </w:p>
    <w:p w:rsidR="00A22D64" w:rsidRPr="00E3168C" w:rsidRDefault="00A22D64" w:rsidP="00A22D64">
      <w:pPr>
        <w:tabs>
          <w:tab w:val="left" w:pos="-1180"/>
          <w:tab w:val="left" w:pos="-720"/>
          <w:tab w:val="left" w:pos="0"/>
          <w:tab w:val="num" w:pos="36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ind w:left="360" w:right="360" w:hanging="360"/>
        <w:jc w:val="both"/>
        <w:rPr>
          <w:rFonts w:ascii="Book Antiqua" w:hAnsi="Book Antiqua"/>
          <w:sz w:val="22"/>
          <w:szCs w:val="22"/>
        </w:rPr>
      </w:pPr>
    </w:p>
    <w:p w:rsidR="00A22D64" w:rsidRPr="00E3168C" w:rsidRDefault="00A22D64" w:rsidP="00A22D64">
      <w:pPr>
        <w:numPr>
          <w:ilvl w:val="0"/>
          <w:numId w:val="1"/>
        </w:numPr>
        <w:tabs>
          <w:tab w:val="left" w:pos="-1180"/>
          <w:tab w:val="left" w:pos="-720"/>
          <w:tab w:val="left" w:pos="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ind w:right="360"/>
        <w:jc w:val="both"/>
        <w:rPr>
          <w:rFonts w:ascii="Book Antiqua" w:hAnsi="Book Antiqua"/>
          <w:sz w:val="22"/>
          <w:szCs w:val="22"/>
        </w:rPr>
      </w:pPr>
      <w:r w:rsidRPr="00E3168C">
        <w:rPr>
          <w:rFonts w:ascii="Book Antiqua" w:hAnsi="Book Antiqua"/>
          <w:sz w:val="22"/>
          <w:szCs w:val="22"/>
        </w:rPr>
        <w:t xml:space="preserve">Parties involved may appeal in writing the decision of the principal to the Title I Director.  The Title I Director has seven days to resolve the complaint.  A report </w:t>
      </w:r>
      <w:proofErr w:type="gramStart"/>
      <w:r w:rsidRPr="00E3168C">
        <w:rPr>
          <w:rFonts w:ascii="Book Antiqua" w:hAnsi="Book Antiqua"/>
          <w:sz w:val="22"/>
          <w:szCs w:val="22"/>
        </w:rPr>
        <w:t>will be forwarded</w:t>
      </w:r>
      <w:proofErr w:type="gramEnd"/>
      <w:r w:rsidRPr="00E3168C">
        <w:rPr>
          <w:rFonts w:ascii="Book Antiqua" w:hAnsi="Book Antiqua"/>
          <w:sz w:val="22"/>
          <w:szCs w:val="22"/>
        </w:rPr>
        <w:t xml:space="preserve"> to the </w:t>
      </w:r>
      <w:r>
        <w:rPr>
          <w:rFonts w:ascii="Book Antiqua" w:hAnsi="Book Antiqua"/>
          <w:sz w:val="22"/>
          <w:szCs w:val="22"/>
        </w:rPr>
        <w:t xml:space="preserve">District </w:t>
      </w:r>
      <w:r w:rsidRPr="00E3168C">
        <w:rPr>
          <w:rFonts w:ascii="Book Antiqua" w:hAnsi="Book Antiqua"/>
          <w:sz w:val="22"/>
          <w:szCs w:val="22"/>
        </w:rPr>
        <w:t>Superintendent.</w:t>
      </w:r>
    </w:p>
    <w:p w:rsidR="00A22D64" w:rsidRPr="00E3168C" w:rsidRDefault="00A22D64" w:rsidP="00A22D64">
      <w:pPr>
        <w:tabs>
          <w:tab w:val="left" w:pos="-1180"/>
          <w:tab w:val="left" w:pos="-720"/>
          <w:tab w:val="left" w:pos="0"/>
          <w:tab w:val="num" w:pos="36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ind w:left="360" w:right="360" w:hanging="360"/>
        <w:jc w:val="both"/>
        <w:rPr>
          <w:rFonts w:ascii="Book Antiqua" w:hAnsi="Book Antiqua"/>
          <w:sz w:val="22"/>
          <w:szCs w:val="22"/>
        </w:rPr>
      </w:pPr>
    </w:p>
    <w:p w:rsidR="00A22D64" w:rsidRPr="00E3168C" w:rsidRDefault="00A22D64" w:rsidP="00A22D64">
      <w:pPr>
        <w:numPr>
          <w:ilvl w:val="0"/>
          <w:numId w:val="1"/>
        </w:numPr>
        <w:tabs>
          <w:tab w:val="left" w:pos="-1180"/>
          <w:tab w:val="left" w:pos="-720"/>
          <w:tab w:val="left" w:pos="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ind w:right="360"/>
        <w:jc w:val="both"/>
        <w:rPr>
          <w:rFonts w:ascii="Book Antiqua" w:hAnsi="Book Antiqua"/>
          <w:sz w:val="22"/>
          <w:szCs w:val="22"/>
        </w:rPr>
      </w:pPr>
      <w:r w:rsidRPr="00E3168C">
        <w:rPr>
          <w:rFonts w:ascii="Book Antiqua" w:hAnsi="Book Antiqua"/>
          <w:sz w:val="22"/>
          <w:szCs w:val="22"/>
        </w:rPr>
        <w:t xml:space="preserve">Parties involved may appeal in writing the decision of the Title I Director to the </w:t>
      </w:r>
      <w:r>
        <w:rPr>
          <w:rFonts w:ascii="Book Antiqua" w:hAnsi="Book Antiqua"/>
          <w:sz w:val="22"/>
          <w:szCs w:val="22"/>
        </w:rPr>
        <w:t xml:space="preserve">District </w:t>
      </w:r>
      <w:r w:rsidRPr="00E3168C">
        <w:rPr>
          <w:rFonts w:ascii="Book Antiqua" w:hAnsi="Book Antiqua"/>
          <w:sz w:val="22"/>
          <w:szCs w:val="22"/>
        </w:rPr>
        <w:t>Superintendent who has seven days to resolve the complaint.</w:t>
      </w:r>
    </w:p>
    <w:p w:rsidR="00A22D64" w:rsidRPr="00E3168C" w:rsidRDefault="00A22D64" w:rsidP="00A22D64">
      <w:pPr>
        <w:tabs>
          <w:tab w:val="left" w:pos="-1180"/>
          <w:tab w:val="left" w:pos="-720"/>
          <w:tab w:val="left" w:pos="0"/>
          <w:tab w:val="num" w:pos="36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ind w:left="360" w:right="360" w:hanging="360"/>
        <w:jc w:val="both"/>
        <w:rPr>
          <w:rFonts w:ascii="Book Antiqua" w:hAnsi="Book Antiqua"/>
          <w:sz w:val="22"/>
          <w:szCs w:val="22"/>
        </w:rPr>
      </w:pPr>
    </w:p>
    <w:p w:rsidR="00A22D64" w:rsidRPr="00E3168C" w:rsidRDefault="00A22D64" w:rsidP="00A22D64">
      <w:pPr>
        <w:numPr>
          <w:ilvl w:val="0"/>
          <w:numId w:val="1"/>
        </w:numPr>
        <w:tabs>
          <w:tab w:val="left" w:pos="-1180"/>
          <w:tab w:val="left" w:pos="-720"/>
          <w:tab w:val="left" w:pos="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ind w:right="360"/>
        <w:jc w:val="both"/>
        <w:rPr>
          <w:rFonts w:ascii="Book Antiqua" w:hAnsi="Book Antiqua"/>
          <w:sz w:val="22"/>
          <w:szCs w:val="22"/>
        </w:rPr>
      </w:pPr>
      <w:r w:rsidRPr="00E3168C">
        <w:rPr>
          <w:rFonts w:ascii="Book Antiqua" w:hAnsi="Book Antiqua"/>
          <w:sz w:val="22"/>
          <w:szCs w:val="22"/>
        </w:rPr>
        <w:t xml:space="preserve">Parties involved may appeal in writing the decision of the </w:t>
      </w:r>
      <w:r>
        <w:rPr>
          <w:rFonts w:ascii="Book Antiqua" w:hAnsi="Book Antiqua"/>
          <w:sz w:val="22"/>
          <w:szCs w:val="22"/>
        </w:rPr>
        <w:t xml:space="preserve">District </w:t>
      </w:r>
      <w:r w:rsidRPr="00E3168C">
        <w:rPr>
          <w:rFonts w:ascii="Book Antiqua" w:hAnsi="Book Antiqua"/>
          <w:sz w:val="22"/>
          <w:szCs w:val="22"/>
        </w:rPr>
        <w:t>Superintendent to the School Board.  The School Board has seven days to resolve the complaint.</w:t>
      </w:r>
    </w:p>
    <w:p w:rsidR="00A22D64" w:rsidRPr="00E3168C" w:rsidRDefault="00A22D64" w:rsidP="00A22D64">
      <w:pPr>
        <w:tabs>
          <w:tab w:val="left" w:pos="-1180"/>
          <w:tab w:val="left" w:pos="-720"/>
          <w:tab w:val="left" w:pos="0"/>
          <w:tab w:val="num" w:pos="36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ind w:left="360" w:right="360" w:hanging="360"/>
        <w:jc w:val="both"/>
        <w:rPr>
          <w:rFonts w:ascii="Book Antiqua" w:hAnsi="Book Antiqua"/>
          <w:sz w:val="22"/>
          <w:szCs w:val="22"/>
        </w:rPr>
      </w:pPr>
    </w:p>
    <w:p w:rsidR="00A22D64" w:rsidRPr="00E3168C" w:rsidRDefault="00A22D64" w:rsidP="00A22D64">
      <w:pPr>
        <w:numPr>
          <w:ilvl w:val="0"/>
          <w:numId w:val="1"/>
        </w:numPr>
        <w:tabs>
          <w:tab w:val="left" w:pos="-1180"/>
          <w:tab w:val="left" w:pos="-720"/>
          <w:tab w:val="left" w:pos="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ind w:right="360"/>
        <w:jc w:val="both"/>
        <w:rPr>
          <w:rFonts w:ascii="Book Antiqua" w:hAnsi="Book Antiqua"/>
          <w:sz w:val="22"/>
          <w:szCs w:val="22"/>
        </w:rPr>
      </w:pPr>
      <w:r w:rsidRPr="00E3168C">
        <w:rPr>
          <w:rFonts w:ascii="Book Antiqua" w:hAnsi="Book Antiqua"/>
          <w:sz w:val="22"/>
          <w:szCs w:val="22"/>
        </w:rPr>
        <w:t>Parties involved may appeal in writing the decision of the School Board to the State Department of Education for final disposition.</w:t>
      </w:r>
    </w:p>
    <w:p w:rsidR="00A22D64" w:rsidRPr="00E3168C" w:rsidRDefault="00A22D64" w:rsidP="00A22D64">
      <w:pPr>
        <w:tabs>
          <w:tab w:val="left" w:pos="-1180"/>
          <w:tab w:val="left" w:pos="-720"/>
          <w:tab w:val="left" w:pos="0"/>
          <w:tab w:val="num" w:pos="36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ind w:left="360" w:right="360" w:hanging="360"/>
        <w:jc w:val="both"/>
        <w:rPr>
          <w:rFonts w:ascii="Book Antiqua" w:hAnsi="Book Antiqua"/>
          <w:sz w:val="22"/>
          <w:szCs w:val="22"/>
        </w:rPr>
      </w:pPr>
    </w:p>
    <w:p w:rsidR="00A22D64" w:rsidRPr="00E3168C" w:rsidRDefault="00A22D64" w:rsidP="00A22D64">
      <w:pPr>
        <w:numPr>
          <w:ilvl w:val="0"/>
          <w:numId w:val="1"/>
        </w:numPr>
        <w:tabs>
          <w:tab w:val="left" w:pos="-1180"/>
          <w:tab w:val="left" w:pos="-720"/>
          <w:tab w:val="left" w:pos="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ind w:right="360"/>
        <w:jc w:val="both"/>
        <w:rPr>
          <w:rFonts w:ascii="Book Antiqua" w:hAnsi="Book Antiqua"/>
          <w:sz w:val="22"/>
          <w:szCs w:val="22"/>
        </w:rPr>
      </w:pPr>
      <w:r w:rsidRPr="00E3168C">
        <w:rPr>
          <w:rFonts w:ascii="Book Antiqua" w:hAnsi="Book Antiqua"/>
          <w:sz w:val="22"/>
          <w:szCs w:val="22"/>
        </w:rPr>
        <w:t xml:space="preserve">The complainant and local education agency </w:t>
      </w:r>
      <w:proofErr w:type="gramStart"/>
      <w:r w:rsidRPr="00E3168C">
        <w:rPr>
          <w:rFonts w:ascii="Book Antiqua" w:hAnsi="Book Antiqua"/>
          <w:sz w:val="22"/>
          <w:szCs w:val="22"/>
        </w:rPr>
        <w:t>will be notified</w:t>
      </w:r>
      <w:proofErr w:type="gramEnd"/>
      <w:r w:rsidRPr="00E3168C">
        <w:rPr>
          <w:rFonts w:ascii="Book Antiqua" w:hAnsi="Book Antiqua"/>
          <w:sz w:val="22"/>
          <w:szCs w:val="22"/>
        </w:rPr>
        <w:t xml:space="preserve"> of the date, time and location of all hearings concerning written complaints.</w:t>
      </w:r>
    </w:p>
    <w:p w:rsidR="00A22D64" w:rsidRPr="00E3168C" w:rsidRDefault="00A22D64" w:rsidP="00A22D64">
      <w:pPr>
        <w:tabs>
          <w:tab w:val="left" w:pos="-1180"/>
          <w:tab w:val="left" w:pos="-720"/>
          <w:tab w:val="left" w:pos="0"/>
          <w:tab w:val="num" w:pos="36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ind w:left="360" w:right="360" w:hanging="360"/>
        <w:jc w:val="both"/>
        <w:rPr>
          <w:rFonts w:ascii="Book Antiqua" w:hAnsi="Book Antiqua"/>
          <w:sz w:val="22"/>
          <w:szCs w:val="22"/>
        </w:rPr>
      </w:pPr>
    </w:p>
    <w:p w:rsidR="00A22D64" w:rsidRPr="00E3168C" w:rsidRDefault="00A22D64" w:rsidP="00A22D64">
      <w:pPr>
        <w:numPr>
          <w:ilvl w:val="0"/>
          <w:numId w:val="1"/>
        </w:numPr>
        <w:tabs>
          <w:tab w:val="left" w:pos="-1180"/>
          <w:tab w:val="left" w:pos="-720"/>
          <w:tab w:val="left" w:pos="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ind w:right="360"/>
        <w:jc w:val="both"/>
        <w:rPr>
          <w:rFonts w:ascii="Book Antiqua" w:hAnsi="Book Antiqua"/>
          <w:sz w:val="22"/>
          <w:szCs w:val="22"/>
        </w:rPr>
      </w:pPr>
      <w:r w:rsidRPr="00E3168C">
        <w:rPr>
          <w:rFonts w:ascii="Book Antiqua" w:hAnsi="Book Antiqua"/>
          <w:sz w:val="22"/>
          <w:szCs w:val="22"/>
        </w:rPr>
        <w:t xml:space="preserve">An opportunity </w:t>
      </w:r>
      <w:proofErr w:type="gramStart"/>
      <w:r w:rsidRPr="00E3168C">
        <w:rPr>
          <w:rFonts w:ascii="Book Antiqua" w:hAnsi="Book Antiqua"/>
          <w:sz w:val="22"/>
          <w:szCs w:val="22"/>
        </w:rPr>
        <w:t>will be provided</w:t>
      </w:r>
      <w:proofErr w:type="gramEnd"/>
      <w:r w:rsidRPr="00E3168C">
        <w:rPr>
          <w:rFonts w:ascii="Book Antiqua" w:hAnsi="Book Antiqua"/>
          <w:sz w:val="22"/>
          <w:szCs w:val="22"/>
        </w:rPr>
        <w:t xml:space="preserve"> for complainant and the local education agency to present evidence, including the opportunity to question parties involved with the dispute.</w:t>
      </w:r>
    </w:p>
    <w:p w:rsidR="00A22D64" w:rsidRPr="00BE2F12" w:rsidRDefault="00A22D64" w:rsidP="00A22D64">
      <w:pPr>
        <w:tabs>
          <w:tab w:val="left" w:pos="-1180"/>
          <w:tab w:val="left" w:pos="-720"/>
          <w:tab w:val="left" w:pos="0"/>
          <w:tab w:val="num" w:pos="36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ind w:left="360" w:right="360" w:hanging="360"/>
        <w:jc w:val="both"/>
        <w:rPr>
          <w:rFonts w:ascii="Book Antiqua" w:hAnsi="Book Antiqua"/>
          <w:sz w:val="24"/>
          <w:szCs w:val="24"/>
        </w:rPr>
      </w:pPr>
    </w:p>
    <w:p w:rsidR="00A22D64" w:rsidRPr="00E3168C" w:rsidRDefault="00A22D64" w:rsidP="00A22D64">
      <w:pPr>
        <w:numPr>
          <w:ilvl w:val="0"/>
          <w:numId w:val="1"/>
        </w:numPr>
        <w:tabs>
          <w:tab w:val="left" w:pos="-1180"/>
          <w:tab w:val="left" w:pos="-720"/>
          <w:tab w:val="left" w:pos="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s>
        <w:ind w:right="360"/>
        <w:jc w:val="both"/>
        <w:rPr>
          <w:sz w:val="22"/>
          <w:szCs w:val="22"/>
        </w:rPr>
      </w:pPr>
      <w:r w:rsidRPr="00E3168C">
        <w:rPr>
          <w:rFonts w:ascii="Book Antiqua" w:hAnsi="Book Antiqua"/>
          <w:sz w:val="22"/>
          <w:szCs w:val="22"/>
        </w:rPr>
        <w:t xml:space="preserve">The complaint resolution procedure </w:t>
      </w:r>
      <w:proofErr w:type="gramStart"/>
      <w:r w:rsidRPr="00E3168C">
        <w:rPr>
          <w:rFonts w:ascii="Book Antiqua" w:hAnsi="Book Antiqua"/>
          <w:sz w:val="22"/>
          <w:szCs w:val="22"/>
        </w:rPr>
        <w:t>will be given</w:t>
      </w:r>
      <w:proofErr w:type="gramEnd"/>
      <w:r w:rsidRPr="00E3168C">
        <w:rPr>
          <w:rFonts w:ascii="Book Antiqua" w:hAnsi="Book Antiqua"/>
          <w:sz w:val="22"/>
          <w:szCs w:val="22"/>
        </w:rPr>
        <w:t xml:space="preserve"> to </w:t>
      </w:r>
      <w:r>
        <w:rPr>
          <w:rFonts w:ascii="Book Antiqua" w:hAnsi="Book Antiqua"/>
          <w:sz w:val="22"/>
          <w:szCs w:val="22"/>
        </w:rPr>
        <w:t xml:space="preserve">Title I </w:t>
      </w:r>
      <w:r w:rsidRPr="00E3168C">
        <w:rPr>
          <w:rFonts w:ascii="Book Antiqua" w:hAnsi="Book Antiqua"/>
          <w:sz w:val="22"/>
          <w:szCs w:val="22"/>
        </w:rPr>
        <w:t>e</w:t>
      </w:r>
      <w:r>
        <w:rPr>
          <w:rFonts w:ascii="Book Antiqua" w:hAnsi="Book Antiqua"/>
          <w:sz w:val="22"/>
          <w:szCs w:val="22"/>
        </w:rPr>
        <w:t xml:space="preserve">mployees. </w:t>
      </w:r>
      <w:r w:rsidRPr="00E3168C">
        <w:rPr>
          <w:rFonts w:ascii="Book Antiqua" w:hAnsi="Book Antiqua"/>
          <w:sz w:val="22"/>
          <w:szCs w:val="22"/>
        </w:rPr>
        <w:t>Information concerning these procedures is available upon request, free of charge, to interested parties.</w:t>
      </w:r>
    </w:p>
    <w:p w:rsidR="00A22D64" w:rsidRPr="00E3168C" w:rsidRDefault="00A22D64" w:rsidP="00A22D64">
      <w:pPr>
        <w:tabs>
          <w:tab w:val="left" w:pos="-1180"/>
          <w:tab w:val="left" w:pos="-720"/>
          <w:tab w:val="left" w:pos="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Book Antiqua" w:hAnsi="Book Antiqua"/>
          <w:sz w:val="22"/>
          <w:szCs w:val="22"/>
        </w:rPr>
      </w:pPr>
    </w:p>
    <w:p w:rsidR="00A22D64" w:rsidRDefault="00A22D64" w:rsidP="00A22D64">
      <w:pPr>
        <w:tabs>
          <w:tab w:val="left" w:pos="-1180"/>
          <w:tab w:val="left" w:pos="-720"/>
          <w:tab w:val="left" w:pos="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Book Antiqua" w:hAnsi="Book Antiqua"/>
          <w:sz w:val="26"/>
          <w:szCs w:val="26"/>
        </w:rPr>
      </w:pPr>
    </w:p>
    <w:p w:rsidR="00A22D64" w:rsidRDefault="00A22D64" w:rsidP="00A22D64">
      <w:pPr>
        <w:tabs>
          <w:tab w:val="left" w:pos="-1180"/>
          <w:tab w:val="left" w:pos="-720"/>
          <w:tab w:val="left" w:pos="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Book Antiqua" w:hAnsi="Book Antiqua"/>
          <w:sz w:val="26"/>
          <w:szCs w:val="26"/>
        </w:rPr>
      </w:pPr>
    </w:p>
    <w:p w:rsidR="00A22D64" w:rsidRDefault="00A22D64" w:rsidP="00A22D64">
      <w:pPr>
        <w:tabs>
          <w:tab w:val="left" w:pos="-1180"/>
          <w:tab w:val="left" w:pos="-720"/>
          <w:tab w:val="left" w:pos="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Book Antiqua" w:hAnsi="Book Antiqua"/>
          <w:sz w:val="26"/>
          <w:szCs w:val="26"/>
        </w:rPr>
      </w:pPr>
    </w:p>
    <w:p w:rsidR="00A22D64" w:rsidRPr="00A312B4" w:rsidRDefault="00A22D64" w:rsidP="00A22D64">
      <w:pPr>
        <w:widowControl/>
        <w:autoSpaceDE/>
        <w:autoSpaceDN/>
        <w:adjustRightInd/>
        <w:spacing w:after="120"/>
        <w:jc w:val="center"/>
        <w:textAlignment w:val="top"/>
        <w:rPr>
          <w:rFonts w:ascii="Book Antiqua" w:hAnsi="Book Antiqua" w:cs="Arial"/>
          <w:b/>
          <w:color w:val="222222"/>
          <w:sz w:val="24"/>
          <w:szCs w:val="24"/>
          <w:lang w:val="es-ES"/>
        </w:rPr>
      </w:pPr>
      <w:bookmarkStart w:id="0" w:name="_GoBack"/>
      <w:bookmarkEnd w:id="0"/>
      <w:r w:rsidRPr="00A312B4">
        <w:rPr>
          <w:rFonts w:ascii="Book Antiqua" w:hAnsi="Book Antiqua" w:cs="Arial"/>
          <w:b/>
          <w:color w:val="222222"/>
          <w:sz w:val="24"/>
          <w:szCs w:val="24"/>
          <w:lang w:val="es-ES"/>
        </w:rPr>
        <w:lastRenderedPageBreak/>
        <w:t xml:space="preserve">Livingston </w:t>
      </w:r>
      <w:proofErr w:type="spellStart"/>
      <w:r w:rsidRPr="00A312B4">
        <w:rPr>
          <w:rFonts w:ascii="Book Antiqua" w:hAnsi="Book Antiqua" w:cs="Arial"/>
          <w:b/>
          <w:color w:val="222222"/>
          <w:sz w:val="24"/>
          <w:szCs w:val="24"/>
          <w:lang w:val="es-ES"/>
        </w:rPr>
        <w:t>Parish</w:t>
      </w:r>
      <w:proofErr w:type="spellEnd"/>
      <w:r w:rsidRPr="00A312B4">
        <w:rPr>
          <w:rFonts w:ascii="Book Antiqua" w:hAnsi="Book Antiqua" w:cs="Arial"/>
          <w:b/>
          <w:color w:val="222222"/>
          <w:sz w:val="24"/>
          <w:szCs w:val="24"/>
          <w:lang w:val="es-ES"/>
        </w:rPr>
        <w:t xml:space="preserve"> ESSA, </w:t>
      </w:r>
      <w:proofErr w:type="spellStart"/>
      <w:r w:rsidRPr="00A312B4">
        <w:rPr>
          <w:rFonts w:ascii="Book Antiqua" w:hAnsi="Book Antiqua" w:cs="Arial"/>
          <w:b/>
          <w:color w:val="222222"/>
          <w:sz w:val="24"/>
          <w:szCs w:val="24"/>
          <w:lang w:val="es-ES"/>
        </w:rPr>
        <w:t>Titulo</w:t>
      </w:r>
      <w:proofErr w:type="spellEnd"/>
      <w:r w:rsidRPr="00A312B4">
        <w:rPr>
          <w:rFonts w:ascii="Book Antiqua" w:hAnsi="Book Antiqua" w:cs="Arial"/>
          <w:b/>
          <w:color w:val="222222"/>
          <w:sz w:val="24"/>
          <w:szCs w:val="24"/>
          <w:lang w:val="es-ES"/>
        </w:rPr>
        <w:t xml:space="preserve"> I</w:t>
      </w:r>
      <w:r w:rsidRPr="00A312B4">
        <w:rPr>
          <w:rFonts w:ascii="Book Antiqua" w:hAnsi="Book Antiqua" w:cs="Arial"/>
          <w:b/>
          <w:color w:val="222222"/>
          <w:sz w:val="24"/>
          <w:szCs w:val="24"/>
          <w:lang w:val="es-ES"/>
        </w:rPr>
        <w:br/>
        <w:t xml:space="preserve"> </w:t>
      </w:r>
      <w:r w:rsidRPr="00A312B4">
        <w:rPr>
          <w:rFonts w:ascii="Book Antiqua" w:hAnsi="Book Antiqua" w:cs="Arial"/>
          <w:color w:val="222222"/>
          <w:sz w:val="24"/>
          <w:szCs w:val="24"/>
          <w:lang w:val="es-ES"/>
        </w:rPr>
        <w:t>Procedimiento de Resolución de Quejas</w:t>
      </w:r>
    </w:p>
    <w:p w:rsidR="00A22D64" w:rsidRDefault="00A22D64" w:rsidP="00A22D64">
      <w:pPr>
        <w:widowControl/>
        <w:autoSpaceDE/>
        <w:autoSpaceDN/>
        <w:adjustRightInd/>
        <w:spacing w:after="120"/>
        <w:jc w:val="both"/>
        <w:textAlignment w:val="top"/>
        <w:rPr>
          <w:rFonts w:ascii="Book Antiqua" w:hAnsi="Book Antiqua" w:cs="Arial"/>
          <w:b/>
          <w:color w:val="222222"/>
          <w:sz w:val="24"/>
          <w:szCs w:val="24"/>
          <w:lang w:val="es-ES"/>
        </w:rPr>
      </w:pPr>
      <w:r w:rsidRPr="00B903CC">
        <w:rPr>
          <w:rFonts w:ascii="Book Antiqua" w:hAnsi="Book Antiqua" w:cs="Arial"/>
          <w:color w:val="222222"/>
          <w:sz w:val="24"/>
          <w:szCs w:val="24"/>
          <w:lang w:val="es-ES"/>
        </w:rPr>
        <w:br/>
      </w:r>
      <w:r w:rsidRPr="004765C0">
        <w:rPr>
          <w:rFonts w:ascii="Book Antiqua" w:hAnsi="Book Antiqua" w:cs="Arial"/>
          <w:b/>
          <w:color w:val="222222"/>
          <w:sz w:val="24"/>
          <w:szCs w:val="24"/>
          <w:lang w:val="es-ES"/>
        </w:rPr>
        <w:t xml:space="preserve">Una queja puede ser presentada por cualquier persona u organización y se define como un escrito, fechado acusación, firmada de que una ley, norma o reglamento federal o estatal ha sido violado por la Agencia Local de Educación (LEA) o una escuela. La queja debe incluir una declaración de que la LEA o la escuela ha violado una ley, norma o reglamento aplicable a un programa cubierto y el hecho en que se basa la declaración. La queja debe alegar que la violación no se produjo más de un (1) año antes de la fecha en que se reciba la </w:t>
      </w:r>
      <w:proofErr w:type="gramStart"/>
      <w:r w:rsidRPr="004765C0">
        <w:rPr>
          <w:rFonts w:ascii="Book Antiqua" w:hAnsi="Book Antiqua" w:cs="Arial"/>
          <w:b/>
          <w:color w:val="222222"/>
          <w:sz w:val="24"/>
          <w:szCs w:val="24"/>
          <w:lang w:val="es-ES"/>
        </w:rPr>
        <w:t>queja ,</w:t>
      </w:r>
      <w:proofErr w:type="gramEnd"/>
      <w:r w:rsidRPr="004765C0">
        <w:rPr>
          <w:rFonts w:ascii="Book Antiqua" w:hAnsi="Book Antiqua" w:cs="Arial"/>
          <w:b/>
          <w:color w:val="222222"/>
          <w:sz w:val="24"/>
          <w:szCs w:val="24"/>
          <w:lang w:val="es-ES"/>
        </w:rPr>
        <w:t xml:space="preserve"> a menos que un período más largo sea razonable porque la violación se considera sistémica o en curso.</w:t>
      </w:r>
    </w:p>
    <w:p w:rsidR="00A22D64" w:rsidRPr="004765C0" w:rsidRDefault="00A22D64" w:rsidP="00A22D64">
      <w:pPr>
        <w:widowControl/>
        <w:autoSpaceDE/>
        <w:autoSpaceDN/>
        <w:adjustRightInd/>
        <w:jc w:val="both"/>
        <w:textAlignment w:val="top"/>
        <w:rPr>
          <w:rFonts w:ascii="Book Antiqua" w:hAnsi="Book Antiqua" w:cs="Arial"/>
          <w:b/>
          <w:color w:val="222222"/>
          <w:sz w:val="16"/>
          <w:szCs w:val="16"/>
          <w:lang w:val="es-ES"/>
        </w:rPr>
      </w:pPr>
    </w:p>
    <w:p w:rsidR="00A22D64" w:rsidRDefault="00A22D64" w:rsidP="00A22D64">
      <w:pPr>
        <w:widowControl/>
        <w:numPr>
          <w:ilvl w:val="0"/>
          <w:numId w:val="2"/>
        </w:numPr>
        <w:autoSpaceDE/>
        <w:autoSpaceDN/>
        <w:adjustRightInd/>
        <w:spacing w:after="120"/>
        <w:jc w:val="both"/>
        <w:textAlignment w:val="top"/>
        <w:rPr>
          <w:rFonts w:ascii="Book Antiqua" w:hAnsi="Book Antiqua" w:cs="Arial"/>
          <w:color w:val="222222"/>
          <w:sz w:val="24"/>
          <w:szCs w:val="24"/>
          <w:lang w:val="es-ES"/>
        </w:rPr>
      </w:pPr>
      <w:r w:rsidRPr="00B903CC">
        <w:rPr>
          <w:rFonts w:ascii="Book Antiqua" w:hAnsi="Book Antiqua" w:cs="Arial"/>
          <w:color w:val="222222"/>
          <w:sz w:val="24"/>
          <w:szCs w:val="24"/>
          <w:lang w:val="es-ES"/>
        </w:rPr>
        <w:t xml:space="preserve">Dentro de los siete días después de recibir una queja por escrito en relación con </w:t>
      </w:r>
      <w:proofErr w:type="spellStart"/>
      <w:r w:rsidRPr="00B903CC">
        <w:rPr>
          <w:rFonts w:ascii="Book Antiqua" w:hAnsi="Book Antiqua" w:cs="Arial"/>
          <w:color w:val="222222"/>
          <w:sz w:val="24"/>
          <w:szCs w:val="24"/>
          <w:lang w:val="es-ES"/>
        </w:rPr>
        <w:t>violaciónes</w:t>
      </w:r>
      <w:proofErr w:type="spellEnd"/>
      <w:r w:rsidRPr="00B903CC">
        <w:rPr>
          <w:rFonts w:ascii="Book Antiqua" w:hAnsi="Book Antiqua" w:cs="Arial"/>
          <w:color w:val="222222"/>
          <w:sz w:val="24"/>
          <w:szCs w:val="24"/>
          <w:lang w:val="es-ES"/>
        </w:rPr>
        <w:t xml:space="preserve"> de los requisitos del Título I el director investigar y determinar si existe una violación. Si una violación existe que tiene siete días para resolver la queja. Un informe de la investigación se remitirá al Director del Tít</w:t>
      </w:r>
      <w:r>
        <w:rPr>
          <w:rFonts w:ascii="Book Antiqua" w:hAnsi="Book Antiqua" w:cs="Arial"/>
          <w:color w:val="222222"/>
          <w:sz w:val="24"/>
          <w:szCs w:val="24"/>
          <w:lang w:val="es-ES"/>
        </w:rPr>
        <w:t>ulo I y el Superintendente.</w:t>
      </w:r>
    </w:p>
    <w:p w:rsidR="00A22D64" w:rsidRPr="004765C0" w:rsidRDefault="00A22D64" w:rsidP="00A22D64">
      <w:pPr>
        <w:widowControl/>
        <w:autoSpaceDE/>
        <w:autoSpaceDN/>
        <w:adjustRightInd/>
        <w:jc w:val="both"/>
        <w:textAlignment w:val="top"/>
        <w:rPr>
          <w:rFonts w:ascii="Book Antiqua" w:hAnsi="Book Antiqua" w:cs="Arial"/>
          <w:color w:val="222222"/>
          <w:sz w:val="16"/>
          <w:szCs w:val="16"/>
          <w:lang w:val="es-ES"/>
        </w:rPr>
      </w:pPr>
    </w:p>
    <w:p w:rsidR="00A22D64" w:rsidRDefault="00A22D64" w:rsidP="00A22D64">
      <w:pPr>
        <w:widowControl/>
        <w:numPr>
          <w:ilvl w:val="0"/>
          <w:numId w:val="2"/>
        </w:numPr>
        <w:autoSpaceDE/>
        <w:autoSpaceDN/>
        <w:adjustRightInd/>
        <w:spacing w:after="120"/>
        <w:jc w:val="both"/>
        <w:textAlignment w:val="top"/>
        <w:rPr>
          <w:rFonts w:ascii="Book Antiqua" w:hAnsi="Book Antiqua" w:cs="Arial"/>
          <w:color w:val="222222"/>
          <w:sz w:val="24"/>
          <w:szCs w:val="24"/>
          <w:lang w:val="es-ES"/>
        </w:rPr>
      </w:pPr>
      <w:r w:rsidRPr="00B903CC">
        <w:rPr>
          <w:rFonts w:ascii="Book Antiqua" w:hAnsi="Book Antiqua" w:cs="Arial"/>
          <w:color w:val="222222"/>
          <w:sz w:val="24"/>
          <w:szCs w:val="24"/>
          <w:lang w:val="es-ES"/>
        </w:rPr>
        <w:t>Partes involucradas pueden apelar por escrito la decisión del director de la Directora del Título I. El Director del Título I tiene siete días para resolver la queja. Un informe será r</w:t>
      </w:r>
      <w:r>
        <w:rPr>
          <w:rFonts w:ascii="Book Antiqua" w:hAnsi="Book Antiqua" w:cs="Arial"/>
          <w:color w:val="222222"/>
          <w:sz w:val="24"/>
          <w:szCs w:val="24"/>
          <w:lang w:val="es-ES"/>
        </w:rPr>
        <w:t>emitido al Superintendente.</w:t>
      </w:r>
    </w:p>
    <w:p w:rsidR="00A22D64" w:rsidRPr="004765C0" w:rsidRDefault="00A22D64" w:rsidP="00A22D64">
      <w:pPr>
        <w:widowControl/>
        <w:autoSpaceDE/>
        <w:autoSpaceDN/>
        <w:adjustRightInd/>
        <w:jc w:val="both"/>
        <w:textAlignment w:val="top"/>
        <w:rPr>
          <w:rFonts w:ascii="Book Antiqua" w:hAnsi="Book Antiqua" w:cs="Arial"/>
          <w:color w:val="222222"/>
          <w:sz w:val="16"/>
          <w:szCs w:val="16"/>
          <w:lang w:val="es-ES"/>
        </w:rPr>
      </w:pPr>
    </w:p>
    <w:p w:rsidR="00A22D64" w:rsidRDefault="00A22D64" w:rsidP="00A22D64">
      <w:pPr>
        <w:widowControl/>
        <w:numPr>
          <w:ilvl w:val="0"/>
          <w:numId w:val="2"/>
        </w:numPr>
        <w:autoSpaceDE/>
        <w:autoSpaceDN/>
        <w:adjustRightInd/>
        <w:spacing w:after="120"/>
        <w:jc w:val="both"/>
        <w:textAlignment w:val="top"/>
        <w:rPr>
          <w:rFonts w:ascii="Book Antiqua" w:hAnsi="Book Antiqua" w:cs="Arial"/>
          <w:color w:val="222222"/>
          <w:sz w:val="24"/>
          <w:szCs w:val="24"/>
          <w:lang w:val="es-ES"/>
        </w:rPr>
      </w:pPr>
      <w:r w:rsidRPr="00B903CC">
        <w:rPr>
          <w:rFonts w:ascii="Book Antiqua" w:hAnsi="Book Antiqua" w:cs="Arial"/>
          <w:color w:val="222222"/>
          <w:sz w:val="24"/>
          <w:szCs w:val="24"/>
          <w:lang w:val="es-ES"/>
        </w:rPr>
        <w:t>Partes involucradas pueden apelar por escrito la decisión del Director de Título I al Superintendente quien tiene siete d</w:t>
      </w:r>
      <w:r>
        <w:rPr>
          <w:rFonts w:ascii="Book Antiqua" w:hAnsi="Book Antiqua" w:cs="Arial"/>
          <w:color w:val="222222"/>
          <w:sz w:val="24"/>
          <w:szCs w:val="24"/>
          <w:lang w:val="es-ES"/>
        </w:rPr>
        <w:t>ías para resolver la queja.</w:t>
      </w:r>
    </w:p>
    <w:p w:rsidR="00A22D64" w:rsidRPr="004765C0" w:rsidRDefault="00A22D64" w:rsidP="00A22D64">
      <w:pPr>
        <w:widowControl/>
        <w:autoSpaceDE/>
        <w:autoSpaceDN/>
        <w:adjustRightInd/>
        <w:jc w:val="both"/>
        <w:textAlignment w:val="top"/>
        <w:rPr>
          <w:rFonts w:ascii="Book Antiqua" w:hAnsi="Book Antiqua" w:cs="Arial"/>
          <w:color w:val="222222"/>
          <w:sz w:val="16"/>
          <w:szCs w:val="16"/>
          <w:lang w:val="es-ES"/>
        </w:rPr>
      </w:pPr>
    </w:p>
    <w:p w:rsidR="00A22D64" w:rsidRDefault="00A22D64" w:rsidP="00A22D64">
      <w:pPr>
        <w:widowControl/>
        <w:numPr>
          <w:ilvl w:val="0"/>
          <w:numId w:val="2"/>
        </w:numPr>
        <w:autoSpaceDE/>
        <w:autoSpaceDN/>
        <w:adjustRightInd/>
        <w:spacing w:after="120"/>
        <w:jc w:val="both"/>
        <w:textAlignment w:val="top"/>
        <w:rPr>
          <w:rFonts w:ascii="Book Antiqua" w:hAnsi="Book Antiqua" w:cs="Arial"/>
          <w:color w:val="222222"/>
          <w:sz w:val="24"/>
          <w:szCs w:val="24"/>
          <w:lang w:val="es-ES"/>
        </w:rPr>
      </w:pPr>
      <w:r w:rsidRPr="00B903CC">
        <w:rPr>
          <w:rFonts w:ascii="Book Antiqua" w:hAnsi="Book Antiqua" w:cs="Arial"/>
          <w:color w:val="222222"/>
          <w:sz w:val="24"/>
          <w:szCs w:val="24"/>
          <w:lang w:val="es-ES"/>
        </w:rPr>
        <w:t>Partes involucradas pueden apelar por escrito la decisión del Superintendente a la Junta Escolar. La Junta Escolar tiene siete d</w:t>
      </w:r>
      <w:r>
        <w:rPr>
          <w:rFonts w:ascii="Book Antiqua" w:hAnsi="Book Antiqua" w:cs="Arial"/>
          <w:color w:val="222222"/>
          <w:sz w:val="24"/>
          <w:szCs w:val="24"/>
          <w:lang w:val="es-ES"/>
        </w:rPr>
        <w:t>ías para resolver la queja.</w:t>
      </w:r>
    </w:p>
    <w:p w:rsidR="00A22D64" w:rsidRPr="004765C0" w:rsidRDefault="00A22D64" w:rsidP="00A22D64">
      <w:pPr>
        <w:widowControl/>
        <w:autoSpaceDE/>
        <w:autoSpaceDN/>
        <w:adjustRightInd/>
        <w:jc w:val="both"/>
        <w:textAlignment w:val="top"/>
        <w:rPr>
          <w:rFonts w:ascii="Book Antiqua" w:hAnsi="Book Antiqua" w:cs="Arial"/>
          <w:color w:val="222222"/>
          <w:sz w:val="16"/>
          <w:szCs w:val="16"/>
          <w:lang w:val="es-ES"/>
        </w:rPr>
      </w:pPr>
    </w:p>
    <w:p w:rsidR="00A22D64" w:rsidRDefault="00A22D64" w:rsidP="00A22D64">
      <w:pPr>
        <w:widowControl/>
        <w:numPr>
          <w:ilvl w:val="0"/>
          <w:numId w:val="2"/>
        </w:numPr>
        <w:autoSpaceDE/>
        <w:autoSpaceDN/>
        <w:adjustRightInd/>
        <w:spacing w:after="120"/>
        <w:jc w:val="both"/>
        <w:textAlignment w:val="top"/>
        <w:rPr>
          <w:rFonts w:ascii="Book Antiqua" w:hAnsi="Book Antiqua" w:cs="Arial"/>
          <w:color w:val="222222"/>
          <w:sz w:val="24"/>
          <w:szCs w:val="24"/>
          <w:lang w:val="es-ES"/>
        </w:rPr>
      </w:pPr>
      <w:r w:rsidRPr="00B903CC">
        <w:rPr>
          <w:rFonts w:ascii="Book Antiqua" w:hAnsi="Book Antiqua" w:cs="Arial"/>
          <w:color w:val="222222"/>
          <w:sz w:val="24"/>
          <w:szCs w:val="24"/>
          <w:lang w:val="es-ES"/>
        </w:rPr>
        <w:t>Partes involucradas pueden apelar por escrito la decisión de la Junta Escolar del Departamento de Educación del Estado</w:t>
      </w:r>
      <w:r>
        <w:rPr>
          <w:rFonts w:ascii="Book Antiqua" w:hAnsi="Book Antiqua" w:cs="Arial"/>
          <w:color w:val="222222"/>
          <w:sz w:val="24"/>
          <w:szCs w:val="24"/>
          <w:lang w:val="es-ES"/>
        </w:rPr>
        <w:t xml:space="preserve"> para su disposición final.</w:t>
      </w:r>
    </w:p>
    <w:p w:rsidR="00A22D64" w:rsidRPr="004765C0" w:rsidRDefault="00A22D64" w:rsidP="00A22D64">
      <w:pPr>
        <w:widowControl/>
        <w:autoSpaceDE/>
        <w:autoSpaceDN/>
        <w:adjustRightInd/>
        <w:jc w:val="both"/>
        <w:textAlignment w:val="top"/>
        <w:rPr>
          <w:rFonts w:ascii="Book Antiqua" w:hAnsi="Book Antiqua" w:cs="Arial"/>
          <w:color w:val="222222"/>
          <w:sz w:val="16"/>
          <w:szCs w:val="16"/>
          <w:lang w:val="es-ES"/>
        </w:rPr>
      </w:pPr>
    </w:p>
    <w:p w:rsidR="00A22D64" w:rsidRDefault="00A22D64" w:rsidP="00A22D64">
      <w:pPr>
        <w:widowControl/>
        <w:numPr>
          <w:ilvl w:val="0"/>
          <w:numId w:val="2"/>
        </w:numPr>
        <w:autoSpaceDE/>
        <w:autoSpaceDN/>
        <w:adjustRightInd/>
        <w:spacing w:after="120"/>
        <w:jc w:val="both"/>
        <w:textAlignment w:val="top"/>
        <w:rPr>
          <w:rFonts w:ascii="Book Antiqua" w:hAnsi="Book Antiqua" w:cs="Arial"/>
          <w:color w:val="222222"/>
          <w:sz w:val="24"/>
          <w:szCs w:val="24"/>
          <w:lang w:val="es-ES"/>
        </w:rPr>
      </w:pPr>
      <w:r w:rsidRPr="00B903CC">
        <w:rPr>
          <w:rFonts w:ascii="Book Antiqua" w:hAnsi="Book Antiqua" w:cs="Arial"/>
          <w:color w:val="222222"/>
          <w:sz w:val="24"/>
          <w:szCs w:val="24"/>
          <w:lang w:val="es-ES"/>
        </w:rPr>
        <w:t xml:space="preserve">La agencia de educación local y denunciante será </w:t>
      </w:r>
      <w:proofErr w:type="gramStart"/>
      <w:r w:rsidRPr="00B903CC">
        <w:rPr>
          <w:rFonts w:ascii="Book Antiqua" w:hAnsi="Book Antiqua" w:cs="Arial"/>
          <w:color w:val="222222"/>
          <w:sz w:val="24"/>
          <w:szCs w:val="24"/>
          <w:lang w:val="es-ES"/>
        </w:rPr>
        <w:t>notificado</w:t>
      </w:r>
      <w:proofErr w:type="gramEnd"/>
      <w:r w:rsidRPr="00B903CC">
        <w:rPr>
          <w:rFonts w:ascii="Book Antiqua" w:hAnsi="Book Antiqua" w:cs="Arial"/>
          <w:color w:val="222222"/>
          <w:sz w:val="24"/>
          <w:szCs w:val="24"/>
          <w:lang w:val="es-ES"/>
        </w:rPr>
        <w:t xml:space="preserve"> de la fecha, hora y lugar de las audiencias relativa</w:t>
      </w:r>
      <w:r>
        <w:rPr>
          <w:rFonts w:ascii="Book Antiqua" w:hAnsi="Book Antiqua" w:cs="Arial"/>
          <w:color w:val="222222"/>
          <w:sz w:val="24"/>
          <w:szCs w:val="24"/>
          <w:lang w:val="es-ES"/>
        </w:rPr>
        <w:t>s a las quejas por escrito.</w:t>
      </w:r>
    </w:p>
    <w:p w:rsidR="00A22D64" w:rsidRPr="004765C0" w:rsidRDefault="00A22D64" w:rsidP="00A22D64">
      <w:pPr>
        <w:widowControl/>
        <w:autoSpaceDE/>
        <w:autoSpaceDN/>
        <w:adjustRightInd/>
        <w:jc w:val="both"/>
        <w:textAlignment w:val="top"/>
        <w:rPr>
          <w:rFonts w:ascii="Book Antiqua" w:hAnsi="Book Antiqua" w:cs="Arial"/>
          <w:color w:val="222222"/>
          <w:sz w:val="16"/>
          <w:szCs w:val="16"/>
          <w:lang w:val="es-ES"/>
        </w:rPr>
      </w:pPr>
    </w:p>
    <w:p w:rsidR="00A22D64" w:rsidRDefault="00A22D64" w:rsidP="00A22D64">
      <w:pPr>
        <w:widowControl/>
        <w:numPr>
          <w:ilvl w:val="0"/>
          <w:numId w:val="2"/>
        </w:numPr>
        <w:autoSpaceDE/>
        <w:autoSpaceDN/>
        <w:adjustRightInd/>
        <w:spacing w:after="120"/>
        <w:jc w:val="both"/>
        <w:textAlignment w:val="top"/>
        <w:rPr>
          <w:rFonts w:ascii="Book Antiqua" w:hAnsi="Book Antiqua" w:cs="Arial"/>
          <w:color w:val="222222"/>
          <w:sz w:val="24"/>
          <w:szCs w:val="24"/>
          <w:lang w:val="es-ES"/>
        </w:rPr>
      </w:pPr>
      <w:r w:rsidRPr="00B903CC">
        <w:rPr>
          <w:rFonts w:ascii="Book Antiqua" w:hAnsi="Book Antiqua" w:cs="Arial"/>
          <w:color w:val="222222"/>
          <w:sz w:val="24"/>
          <w:szCs w:val="24"/>
          <w:lang w:val="es-ES"/>
        </w:rPr>
        <w:t>Una oportunidad se dará por reclamante y la agencia de educación local para presentar pruebas, incluyendo la oportunidad de interrogar a las partes</w:t>
      </w:r>
      <w:r>
        <w:rPr>
          <w:rFonts w:ascii="Book Antiqua" w:hAnsi="Book Antiqua" w:cs="Arial"/>
          <w:color w:val="222222"/>
          <w:sz w:val="24"/>
          <w:szCs w:val="24"/>
          <w:lang w:val="es-ES"/>
        </w:rPr>
        <w:t xml:space="preserve"> involucradas en la disputa.</w:t>
      </w:r>
    </w:p>
    <w:p w:rsidR="00A22D64" w:rsidRPr="004765C0" w:rsidRDefault="00A22D64" w:rsidP="00A22D64">
      <w:pPr>
        <w:widowControl/>
        <w:autoSpaceDE/>
        <w:autoSpaceDN/>
        <w:adjustRightInd/>
        <w:jc w:val="both"/>
        <w:textAlignment w:val="top"/>
        <w:rPr>
          <w:rFonts w:ascii="Book Antiqua" w:hAnsi="Book Antiqua" w:cs="Arial"/>
          <w:color w:val="222222"/>
          <w:sz w:val="16"/>
          <w:szCs w:val="16"/>
          <w:lang w:val="es-ES"/>
        </w:rPr>
      </w:pPr>
    </w:p>
    <w:p w:rsidR="00A22D64" w:rsidRPr="00F47626" w:rsidRDefault="00A22D64" w:rsidP="00A22D64">
      <w:pPr>
        <w:widowControl/>
        <w:numPr>
          <w:ilvl w:val="0"/>
          <w:numId w:val="2"/>
        </w:numPr>
        <w:autoSpaceDE/>
        <w:autoSpaceDN/>
        <w:adjustRightInd/>
        <w:spacing w:after="120"/>
        <w:jc w:val="both"/>
        <w:textAlignment w:val="top"/>
        <w:rPr>
          <w:rFonts w:ascii="Book Antiqua" w:hAnsi="Book Antiqua"/>
          <w:sz w:val="26"/>
          <w:szCs w:val="26"/>
          <w:lang w:val="es-ES"/>
        </w:rPr>
      </w:pPr>
      <w:r w:rsidRPr="00B903CC">
        <w:rPr>
          <w:rFonts w:ascii="Book Antiqua" w:hAnsi="Book Antiqua" w:cs="Arial"/>
          <w:color w:val="222222"/>
          <w:sz w:val="24"/>
          <w:szCs w:val="24"/>
          <w:lang w:val="es-ES"/>
        </w:rPr>
        <w:t xml:space="preserve">El procedimiento de resolución de quejas se </w:t>
      </w:r>
      <w:proofErr w:type="gramStart"/>
      <w:r w:rsidRPr="00B903CC">
        <w:rPr>
          <w:rFonts w:ascii="Book Antiqua" w:hAnsi="Book Antiqua" w:cs="Arial"/>
          <w:color w:val="222222"/>
          <w:sz w:val="24"/>
          <w:szCs w:val="24"/>
          <w:lang w:val="es-ES"/>
        </w:rPr>
        <w:t>le</w:t>
      </w:r>
      <w:proofErr w:type="gramEnd"/>
      <w:r w:rsidRPr="00B903CC">
        <w:rPr>
          <w:rFonts w:ascii="Book Antiqua" w:hAnsi="Book Antiqua" w:cs="Arial"/>
          <w:color w:val="222222"/>
          <w:sz w:val="24"/>
          <w:szCs w:val="24"/>
          <w:lang w:val="es-ES"/>
        </w:rPr>
        <w:t xml:space="preserve"> dará a los empleados en el Título I. La información relativa a estos procedimientos está disponible bajo petición, de forma gratuita, a las partes interesadas.</w:t>
      </w:r>
    </w:p>
    <w:p w:rsidR="00A22D64" w:rsidRDefault="00A22D64" w:rsidP="00A22D64"/>
    <w:p w:rsidR="00A22D64" w:rsidRDefault="00A22D64" w:rsidP="00A22D64"/>
    <w:p w:rsidR="00A22D64" w:rsidRDefault="00A22D64" w:rsidP="00A22D64"/>
    <w:p w:rsidR="00A22D64" w:rsidRDefault="00A22D64" w:rsidP="00A22D64"/>
    <w:p w:rsidR="00A22D64" w:rsidRDefault="00A22D64" w:rsidP="00A22D64"/>
    <w:p w:rsidR="00A22D64" w:rsidRDefault="00A22D64" w:rsidP="00A22D64"/>
    <w:p w:rsidR="00A22D64" w:rsidRDefault="00A22D64" w:rsidP="00A22D64"/>
    <w:p w:rsidR="005B4E68" w:rsidRDefault="005B4E68"/>
    <w:sectPr w:rsidR="005B4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7C2FC4"/>
    <w:multiLevelType w:val="hybridMultilevel"/>
    <w:tmpl w:val="5232AD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6C511CA3"/>
    <w:multiLevelType w:val="hybridMultilevel"/>
    <w:tmpl w:val="C57CC1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D64"/>
    <w:rsid w:val="005B4E68"/>
    <w:rsid w:val="00A22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B8BE4-DDA0-479E-9635-A5DDB4EE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D64"/>
    <w:pPr>
      <w:widowControl w:val="0"/>
      <w:autoSpaceDE w:val="0"/>
      <w:autoSpaceDN w:val="0"/>
      <w:adjustRightInd w:val="0"/>
      <w:spacing w:after="0" w:line="240" w:lineRule="auto"/>
    </w:pPr>
    <w:rPr>
      <w:rFonts w:ascii="CG Times" w:eastAsia="Times New Roman" w:hAnsi="CG 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22D64"/>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A22D64"/>
    <w:rPr>
      <w:rFonts w:ascii="Calibri" w:eastAsia="MS Mincho" w:hAnsi="Calibri"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Livingston Parish Public Schools</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Anderson</dc:creator>
  <cp:keywords/>
  <dc:description/>
  <cp:lastModifiedBy>Sharon Anderson</cp:lastModifiedBy>
  <cp:revision>1</cp:revision>
  <dcterms:created xsi:type="dcterms:W3CDTF">2019-03-26T15:21:00Z</dcterms:created>
  <dcterms:modified xsi:type="dcterms:W3CDTF">2019-03-26T15:22:00Z</dcterms:modified>
</cp:coreProperties>
</file>